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18" w:rsidRPr="00D00DFC" w:rsidRDefault="00E77F17" w:rsidP="00A051A5">
      <w:pPr>
        <w:spacing w:line="480" w:lineRule="auto"/>
        <w:ind w:left="-709"/>
        <w:rPr>
          <w:rFonts w:ascii="Neo Sans Pro" w:hAnsi="Neo Sans Pro" w:cs="Tahoma"/>
          <w:b/>
          <w:sz w:val="24"/>
          <w:szCs w:val="24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A98DFAE" wp14:editId="15C9F29A">
            <wp:simplePos x="0" y="0"/>
            <wp:positionH relativeFrom="page">
              <wp:posOffset>436397</wp:posOffset>
            </wp:positionH>
            <wp:positionV relativeFrom="page">
              <wp:posOffset>329209</wp:posOffset>
            </wp:positionV>
            <wp:extent cx="1296620" cy="781034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calía oficial color 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20" cy="78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1C" w:rsidRPr="002A1B54" w:rsidRDefault="008A1B1E" w:rsidP="00CD151C">
      <w:pPr>
        <w:spacing w:after="0" w:line="360" w:lineRule="auto"/>
        <w:jc w:val="center"/>
        <w:rPr>
          <w:rFonts w:ascii="Neo Sans Pro" w:eastAsia="Times New Roman" w:hAnsi="Neo Sans Pro" w:cs="Tahoma"/>
          <w:b/>
          <w:sz w:val="30"/>
          <w:szCs w:val="30"/>
          <w:lang w:eastAsia="es-MX"/>
        </w:rPr>
      </w:pPr>
      <w:r w:rsidRPr="002A1B54">
        <w:rPr>
          <w:rFonts w:ascii="Neo Sans Pro" w:eastAsia="Times New Roman" w:hAnsi="Neo Sans Pro" w:cs="Tahoma"/>
          <w:b/>
          <w:sz w:val="30"/>
          <w:szCs w:val="30"/>
          <w:lang w:eastAsia="es-MX"/>
        </w:rPr>
        <w:t>DOCUMENTOS TÉCNICOS, M</w:t>
      </w:r>
      <w:bookmarkStart w:id="0" w:name="_GoBack"/>
      <w:bookmarkEnd w:id="0"/>
      <w:r w:rsidRPr="002A1B54">
        <w:rPr>
          <w:rFonts w:ascii="Neo Sans Pro" w:eastAsia="Times New Roman" w:hAnsi="Neo Sans Pro" w:cs="Tahoma"/>
          <w:b/>
          <w:sz w:val="30"/>
          <w:szCs w:val="30"/>
          <w:lang w:eastAsia="es-MX"/>
        </w:rPr>
        <w:t>ETODOLÓGICOS Y NORMATIVOS</w:t>
      </w:r>
    </w:p>
    <w:p w:rsidR="004C1709" w:rsidRPr="002A1B54" w:rsidRDefault="00B21EBE" w:rsidP="002A1B54">
      <w:pPr>
        <w:spacing w:after="0" w:line="360" w:lineRule="auto"/>
        <w:jc w:val="center"/>
        <w:rPr>
          <w:rFonts w:ascii="Neo Sans Pro" w:eastAsia="Times New Roman" w:hAnsi="Neo Sans Pro" w:cs="Tahoma"/>
          <w:b/>
          <w:sz w:val="30"/>
          <w:szCs w:val="30"/>
          <w:lang w:eastAsia="es-MX"/>
        </w:rPr>
      </w:pPr>
      <w:r w:rsidRPr="002A1B54">
        <w:rPr>
          <w:rFonts w:ascii="Neo Sans Pro" w:hAnsi="Neo Sans Pro" w:cs="Tahoma"/>
          <w:b/>
          <w:sz w:val="30"/>
          <w:szCs w:val="30"/>
        </w:rPr>
        <w:t>“</w:t>
      </w:r>
      <w:r w:rsidR="00CD151C">
        <w:rPr>
          <w:rFonts w:ascii="Neo Sans Pro" w:hAnsi="Neo Sans Pro" w:cs="Tahoma"/>
          <w:b/>
          <w:sz w:val="30"/>
          <w:szCs w:val="30"/>
        </w:rPr>
        <w:t>CAPACITACIÓN A AGENTES Y SUBAGENTES DE LAS COMUNIDADES INDÍGENAS</w:t>
      </w:r>
      <w:r w:rsidRPr="002A1B54">
        <w:rPr>
          <w:rFonts w:ascii="Neo Sans Pro" w:hAnsi="Neo Sans Pro" w:cs="Tahoma"/>
          <w:b/>
          <w:sz w:val="30"/>
          <w:szCs w:val="30"/>
        </w:rPr>
        <w:t>”</w:t>
      </w:r>
    </w:p>
    <w:p w:rsidR="004C1709" w:rsidRPr="002A1B54" w:rsidRDefault="004C1709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</w:p>
    <w:p w:rsidR="004C1709" w:rsidRPr="002A1B54" w:rsidRDefault="004C1709" w:rsidP="00083179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bCs/>
          <w:sz w:val="24"/>
          <w:szCs w:val="24"/>
        </w:rPr>
      </w:pPr>
    </w:p>
    <w:p w:rsidR="004C1709" w:rsidRPr="002A1B54" w:rsidRDefault="004C1709" w:rsidP="004C1709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Neo Sans Pro" w:hAnsi="Neo Sans Pro" w:cs="Tahoma"/>
          <w:b/>
          <w:bCs/>
          <w:sz w:val="24"/>
          <w:szCs w:val="24"/>
        </w:rPr>
      </w:pP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REGLAMENTO DE LA LEY ORGÁNICA DE LA FISCALÍA GENERAL DEL </w:t>
      </w:r>
    </w:p>
    <w:p w:rsidR="004C1709" w:rsidRDefault="004C1709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  <w:r w:rsidRPr="002A1B54">
        <w:rPr>
          <w:rFonts w:ascii="Neo Sans Pro" w:hAnsi="Neo Sans Pro" w:cs="Tahoma"/>
          <w:b/>
          <w:bCs/>
          <w:sz w:val="24"/>
          <w:szCs w:val="24"/>
        </w:rPr>
        <w:t>ESTADO DE VERACRUZ DE IGNACIO DE LA LLAVE</w:t>
      </w:r>
    </w:p>
    <w:p w:rsidR="002A1B54" w:rsidRPr="002A1B54" w:rsidRDefault="002A1B54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</w:p>
    <w:p w:rsidR="0024046E" w:rsidRPr="002A1B54" w:rsidRDefault="0024046E" w:rsidP="004C170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Neo Sans Pro" w:hAnsi="Neo Sans Pro" w:cs="Tahoma"/>
          <w:b/>
          <w:bCs/>
          <w:sz w:val="24"/>
          <w:szCs w:val="24"/>
        </w:rPr>
      </w:pPr>
      <w:r w:rsidRPr="002A1B54">
        <w:rPr>
          <w:rFonts w:ascii="Neo Sans Pro" w:hAnsi="Neo Sans Pro" w:cs="Tahoma"/>
          <w:bCs/>
          <w:sz w:val="24"/>
          <w:szCs w:val="24"/>
        </w:rPr>
        <w:t>Gaceta Oficial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Núm. Ext. </w:t>
      </w:r>
      <w:r w:rsidR="002A1B54">
        <w:rPr>
          <w:rFonts w:ascii="Neo Sans Pro" w:hAnsi="Neo Sans Pro" w:cs="Tahoma"/>
          <w:b/>
          <w:bCs/>
          <w:sz w:val="24"/>
          <w:szCs w:val="24"/>
        </w:rPr>
        <w:t>504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</w:t>
      </w:r>
      <w:r w:rsidRPr="002A1B54">
        <w:rPr>
          <w:rFonts w:ascii="Neo Sans Pro" w:hAnsi="Neo Sans Pro" w:cs="Tahoma"/>
          <w:bCs/>
          <w:sz w:val="24"/>
          <w:szCs w:val="24"/>
        </w:rPr>
        <w:t>de fecha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18 de </w:t>
      </w:r>
      <w:r w:rsidR="00B559F2" w:rsidRPr="002A1B54">
        <w:rPr>
          <w:rFonts w:ascii="Neo Sans Pro" w:hAnsi="Neo Sans Pro" w:cs="Tahoma"/>
          <w:b/>
          <w:bCs/>
          <w:sz w:val="24"/>
          <w:szCs w:val="24"/>
        </w:rPr>
        <w:t>diciembre de 2018</w:t>
      </w:r>
      <w:r w:rsidRPr="002A1B54">
        <w:rPr>
          <w:rFonts w:ascii="Neo Sans Pro" w:hAnsi="Neo Sans Pro" w:cs="Tahoma"/>
          <w:bCs/>
          <w:sz w:val="24"/>
          <w:szCs w:val="24"/>
        </w:rPr>
        <w:t>,</w:t>
      </w:r>
      <w:r w:rsidRPr="002A1B54">
        <w:rPr>
          <w:rFonts w:ascii="Neo Sans Pro" w:hAnsi="Neo Sans Pro" w:cs="Tahoma"/>
          <w:b/>
          <w:bCs/>
          <w:sz w:val="24"/>
          <w:szCs w:val="24"/>
        </w:rPr>
        <w:t xml:space="preserve"> Tomo CX</w:t>
      </w:r>
      <w:r w:rsidR="002A1B54">
        <w:rPr>
          <w:rFonts w:ascii="Neo Sans Pro" w:hAnsi="Neo Sans Pro" w:cs="Tahoma"/>
          <w:b/>
          <w:bCs/>
          <w:sz w:val="24"/>
          <w:szCs w:val="24"/>
        </w:rPr>
        <w:t>CVIII</w:t>
      </w:r>
    </w:p>
    <w:p w:rsidR="004C1709" w:rsidRPr="002A1B54" w:rsidRDefault="004C1709" w:rsidP="004C1709">
      <w:pPr>
        <w:spacing w:line="480" w:lineRule="auto"/>
        <w:ind w:left="-709"/>
        <w:jc w:val="center"/>
        <w:rPr>
          <w:rFonts w:ascii="Neo Sans Pro" w:hAnsi="Neo Sans Pro" w:cs="Tahoma"/>
          <w:b/>
          <w:sz w:val="24"/>
          <w:szCs w:val="24"/>
          <w:u w:val="single"/>
        </w:rPr>
      </w:pPr>
    </w:p>
    <w:p w:rsidR="004C1709" w:rsidRDefault="004C1709" w:rsidP="00ED7EED">
      <w:pPr>
        <w:rPr>
          <w:rFonts w:ascii="Arial" w:hAnsi="Arial" w:cs="Arial"/>
          <w:b/>
          <w:bCs/>
          <w:sz w:val="20"/>
          <w:szCs w:val="20"/>
        </w:rPr>
      </w:pPr>
    </w:p>
    <w:p w:rsidR="006D6D22" w:rsidRPr="00B83031" w:rsidRDefault="006D6D22" w:rsidP="006D6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CAPÍTULO VII</w:t>
      </w:r>
    </w:p>
    <w:p w:rsidR="00ED7EED" w:rsidRPr="00B83031" w:rsidRDefault="006D6D22" w:rsidP="006D6D22">
      <w:pPr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DE LAS FISCALÍAS COORDINADORAS ESPECIALIZADAS</w:t>
      </w:r>
    </w:p>
    <w:p w:rsidR="006D6D22" w:rsidRPr="00B83031" w:rsidRDefault="006D6D22" w:rsidP="006D6D22">
      <w:pPr>
        <w:jc w:val="center"/>
        <w:rPr>
          <w:rFonts w:ascii="Arial" w:hAnsi="Arial" w:cs="Arial"/>
          <w:b/>
          <w:bCs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FISCALÍA COORDINADORA ESPECIALIZADA EN ASUNTOS INDÍGENAS Y DE DERECHOS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3031">
        <w:rPr>
          <w:rFonts w:ascii="Arial" w:hAnsi="Arial" w:cs="Arial"/>
          <w:b/>
          <w:bCs/>
        </w:rPr>
        <w:t>HUMANOS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32AD">
        <w:rPr>
          <w:rFonts w:ascii="Arial" w:hAnsi="Arial" w:cs="Arial"/>
          <w:b/>
          <w:bCs/>
          <w:highlight w:val="lightGray"/>
        </w:rPr>
        <w:t xml:space="preserve">Artículo 99. </w:t>
      </w:r>
      <w:r w:rsidRPr="005832AD">
        <w:rPr>
          <w:rFonts w:ascii="Arial" w:hAnsi="Arial" w:cs="Arial"/>
          <w:highlight w:val="lightGray"/>
        </w:rPr>
        <w:t>La Fiscalía Coordinadora Especializada en Asuntos Indígenas y de Derechos Humanos dependerá directamente de la persona Titular de la Fiscalía General, estará a cargo de un o una Fiscal Coordinadora, quien será nombrada y removida por esta, y de quien dependerán: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Jerárquicamente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I. Fiscales Auxiliares de la Fiscal Coordinadora Especial</w:t>
      </w:r>
      <w:r w:rsidR="006D6D22" w:rsidRPr="00B83031">
        <w:rPr>
          <w:rFonts w:ascii="Arial" w:hAnsi="Arial" w:cs="Arial"/>
        </w:rPr>
        <w:t xml:space="preserve">izada en Asuntos Indígenas y de </w:t>
      </w:r>
      <w:r w:rsidRPr="00B83031">
        <w:rPr>
          <w:rFonts w:ascii="Arial" w:hAnsi="Arial" w:cs="Arial"/>
        </w:rPr>
        <w:t>Derechos Humanos;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17165" w:rsidRDefault="00ED7EED" w:rsidP="003D2C0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165">
        <w:rPr>
          <w:rFonts w:ascii="Arial" w:hAnsi="Arial" w:cs="Arial"/>
        </w:rPr>
        <w:t xml:space="preserve">II. Coordinación de Asuntos Indígenas, a cargo de un o una </w:t>
      </w:r>
      <w:r w:rsidR="006D6D22" w:rsidRPr="00B17165">
        <w:rPr>
          <w:rFonts w:ascii="Arial" w:hAnsi="Arial" w:cs="Arial"/>
        </w:rPr>
        <w:t xml:space="preserve">Fiscal Visitadora, Encargada de </w:t>
      </w:r>
      <w:r w:rsidRPr="00B17165">
        <w:rPr>
          <w:rFonts w:ascii="Arial" w:hAnsi="Arial" w:cs="Arial"/>
        </w:rPr>
        <w:t>la atención de Asuntos Indígenas que contará con: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165">
        <w:rPr>
          <w:rFonts w:ascii="Arial" w:hAnsi="Arial" w:cs="Arial"/>
          <w:highlight w:val="lightGray"/>
        </w:rPr>
        <w:t>a) Fiscales Itinerantes;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32AD">
        <w:rPr>
          <w:rFonts w:ascii="Arial" w:hAnsi="Arial" w:cs="Arial"/>
        </w:rPr>
        <w:t>b) Intérpretes – Traductores /Traductoras;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c) Antropólogo o Antropóloga Social;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d) Auxiliares de Fiscal, y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e) Auxiliares Administrativos(as).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 xml:space="preserve">III. Coordinación de Derechos Humanos, a cargo de una o </w:t>
      </w:r>
      <w:r w:rsidR="00460DF1" w:rsidRPr="00B83031">
        <w:rPr>
          <w:rFonts w:ascii="Arial" w:hAnsi="Arial" w:cs="Arial"/>
        </w:rPr>
        <w:t xml:space="preserve">un Fiscal Visitador de Derechos </w:t>
      </w:r>
      <w:r w:rsidRPr="00B83031">
        <w:rPr>
          <w:rFonts w:ascii="Arial" w:hAnsi="Arial" w:cs="Arial"/>
        </w:rPr>
        <w:t>Humanos, contará con: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a) Fiscales Auxiliares de la Coordinación de Derechos Humanos;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lastRenderedPageBreak/>
        <w:t>b) Analista Administrativo(a);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c) Auxiliar Administrativo(a), y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d) Secretario o Secretaria Operativa.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0DF1" w:rsidRPr="00B83031" w:rsidRDefault="00460DF1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IV. Centro Estatal de Atención a Víctimas del Delito, a ca</w:t>
      </w:r>
      <w:r w:rsidR="006D6D22" w:rsidRPr="00B83031">
        <w:rPr>
          <w:rFonts w:ascii="Arial" w:hAnsi="Arial" w:cs="Arial"/>
        </w:rPr>
        <w:t xml:space="preserve">rgo de un Director o Directora, </w:t>
      </w:r>
      <w:r w:rsidRPr="00B83031">
        <w:rPr>
          <w:rFonts w:ascii="Arial" w:hAnsi="Arial" w:cs="Arial"/>
        </w:rPr>
        <w:t>contará con: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a) Oficina de Trabajo Social;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b) Oficina de Orientación Jurídica;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c) Oficina Clínica;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d) Oficina de Vinculación Interinstitucional y Prevención del Delito; y</w:t>
      </w:r>
    </w:p>
    <w:p w:rsidR="00ED7EED" w:rsidRPr="00B83031" w:rsidRDefault="00ED7EED" w:rsidP="00D00D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1">
        <w:rPr>
          <w:rFonts w:ascii="Arial" w:hAnsi="Arial" w:cs="Arial"/>
        </w:rPr>
        <w:t>e) Oficina de Enlace de Atención Victimal en las Unid</w:t>
      </w:r>
      <w:r w:rsidR="00D00DFC">
        <w:rPr>
          <w:rFonts w:ascii="Arial" w:hAnsi="Arial" w:cs="Arial"/>
        </w:rPr>
        <w:t xml:space="preserve">ades y Sub Unidades de Atención </w:t>
      </w:r>
      <w:r w:rsidRPr="00B83031">
        <w:rPr>
          <w:rFonts w:ascii="Arial" w:hAnsi="Arial" w:cs="Arial"/>
        </w:rPr>
        <w:t>Temprana.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DF1" w:rsidRPr="00B83031" w:rsidRDefault="00ED7EED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V. Encargado(a) del Área de Estadíst</w:t>
      </w:r>
      <w:r w:rsidR="006D6D22" w:rsidRPr="00B83031">
        <w:rPr>
          <w:rFonts w:ascii="Arial" w:hAnsi="Arial" w:cs="Arial"/>
        </w:rPr>
        <w:t xml:space="preserve">ica y Procesamiento de Datos; y </w:t>
      </w:r>
    </w:p>
    <w:p w:rsidR="00460DF1" w:rsidRPr="00B83031" w:rsidRDefault="00460DF1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6D22" w:rsidRPr="00B83031" w:rsidRDefault="00460DF1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Operativamente</w:t>
      </w:r>
    </w:p>
    <w:p w:rsidR="00ED7EED" w:rsidRPr="00B83031" w:rsidRDefault="00ED7EED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>VI. Enlace Administrativo.</w:t>
      </w:r>
    </w:p>
    <w:p w:rsidR="006D6D22" w:rsidRPr="00B83031" w:rsidRDefault="006D6D22" w:rsidP="00ED7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7EED" w:rsidRPr="00B83031" w:rsidRDefault="00ED7EED" w:rsidP="0046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031">
        <w:rPr>
          <w:rFonts w:ascii="Arial" w:hAnsi="Arial" w:cs="Arial"/>
        </w:rPr>
        <w:t xml:space="preserve">La Fiscalía Coordinadora Especializada tendrá su sede en la ciudad de </w:t>
      </w:r>
      <w:r w:rsidR="00460DF1" w:rsidRPr="00B83031">
        <w:rPr>
          <w:rFonts w:ascii="Arial" w:hAnsi="Arial" w:cs="Arial"/>
        </w:rPr>
        <w:t xml:space="preserve">Xalapa y competencia en </w:t>
      </w:r>
      <w:r w:rsidRPr="00B83031">
        <w:rPr>
          <w:rFonts w:ascii="Arial" w:hAnsi="Arial" w:cs="Arial"/>
        </w:rPr>
        <w:t>todo el territorio del Estado.</w:t>
      </w:r>
    </w:p>
    <w:p w:rsidR="00B83031" w:rsidRDefault="00B83031" w:rsidP="0046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3C18" w:rsidRDefault="009E3C18" w:rsidP="009E3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3C18" w:rsidRDefault="009E3C18" w:rsidP="009E3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3861" w:rsidRDefault="00F73861" w:rsidP="00F7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051A5">
        <w:rPr>
          <w:rFonts w:ascii="Arial" w:hAnsi="Arial" w:cs="Arial"/>
          <w:b/>
          <w:bCs/>
        </w:rPr>
        <w:t>De la Coordinación de Asuntos Indígenas</w:t>
      </w: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165">
        <w:rPr>
          <w:rFonts w:ascii="Arial" w:hAnsi="Arial" w:cs="Arial"/>
          <w:b/>
          <w:bCs/>
          <w:highlight w:val="lightGray"/>
        </w:rPr>
        <w:t xml:space="preserve">Artículo 103. </w:t>
      </w:r>
      <w:r w:rsidRPr="00B17165">
        <w:rPr>
          <w:rFonts w:ascii="Arial" w:hAnsi="Arial" w:cs="Arial"/>
          <w:highlight w:val="lightGray"/>
        </w:rPr>
        <w:t>La Coordinación de Asuntos Indígenas, estará a cargo de un Fiscal Visitador o Visitadora de Asuntos Indígenas, dependerá jerárquicamente de la Fiscalía Coordinadora Especializada en Asuntos Indígenas y de Derechos Humanos, y tendrá las facultades siguientes:</w:t>
      </w: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51A5">
        <w:rPr>
          <w:rFonts w:ascii="Arial" w:hAnsi="Arial" w:cs="Arial"/>
        </w:rPr>
        <w:t>I. Realizar visitas semestrales a las Unidades o Sub-Unidades Integrales, a fin de supervisar las actividades sustantivas de las Fiscalías Itinerantes;</w:t>
      </w: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51A5">
        <w:rPr>
          <w:rFonts w:ascii="Arial" w:hAnsi="Arial" w:cs="Arial"/>
        </w:rPr>
        <w:t>II. Realizar la evaluación bimestral del desempeño de las Fiscalías Itinerantes; así como dar cuenta con la minuta o acta correspondiente, a la persona Titular de la Fiscalía Coordinadora Especializada de las irregularidades detectadas en la supervisión;</w:t>
      </w: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51A5">
        <w:rPr>
          <w:rFonts w:ascii="Arial" w:hAnsi="Arial" w:cs="Arial"/>
        </w:rPr>
        <w:t>III. Coordinar, acordar y supervisar junto con las y los Fiscales Auxiliares el cumplimiento de las funciones de los Fiscales Itinerantes;</w:t>
      </w: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51A5">
        <w:rPr>
          <w:rFonts w:ascii="Arial" w:hAnsi="Arial" w:cs="Arial"/>
        </w:rPr>
        <w:t>IV. Participar en las reuniones de trabajo bimestrales para la presentación de propuestas de mejora en el desempeño de las funciones del personal de la Coordinación de Asuntos Indígenas;</w:t>
      </w:r>
    </w:p>
    <w:p w:rsidR="008D69CD" w:rsidRPr="00A051A5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031" w:rsidRDefault="008D69CD" w:rsidP="008D6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51A5">
        <w:rPr>
          <w:rFonts w:ascii="Arial" w:hAnsi="Arial" w:cs="Arial"/>
          <w:highlight w:val="lightGray"/>
        </w:rPr>
        <w:t>V. Capacitar semestralmente a los servidores públicos que ocupen las Sindicaturas, Agencias y Sub-agencias municipales de los pueblos y comunidades indígenas, en materia de procuración de justicia, a fin de evitar que incurran en alguna responsabilidad, pues son los primeros en tener conocimiento de hechos probablemente constitutivos de delito, y</w:t>
      </w:r>
    </w:p>
    <w:p w:rsidR="00A051A5" w:rsidRDefault="00A051A5" w:rsidP="00A05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51A5" w:rsidRPr="00A051A5" w:rsidRDefault="00A051A5" w:rsidP="00A05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51A5">
        <w:rPr>
          <w:rFonts w:ascii="Arial" w:hAnsi="Arial" w:cs="Arial"/>
        </w:rPr>
        <w:t>VI. Las demás que les señalen otras disposiciones normativ</w:t>
      </w:r>
      <w:r>
        <w:rPr>
          <w:rFonts w:ascii="Arial" w:hAnsi="Arial" w:cs="Arial"/>
        </w:rPr>
        <w:t xml:space="preserve">as aplicables o la superioridad </w:t>
      </w:r>
      <w:r w:rsidRPr="00A051A5">
        <w:rPr>
          <w:rFonts w:ascii="Arial" w:hAnsi="Arial" w:cs="Arial"/>
        </w:rPr>
        <w:t>jerárquica.</w:t>
      </w:r>
    </w:p>
    <w:sectPr w:rsidR="00A051A5" w:rsidRPr="00A051A5" w:rsidSect="00B95EAC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A8" w:rsidRDefault="006B07A8">
      <w:pPr>
        <w:spacing w:after="0" w:line="240" w:lineRule="auto"/>
      </w:pPr>
      <w:r>
        <w:separator/>
      </w:r>
    </w:p>
  </w:endnote>
  <w:endnote w:type="continuationSeparator" w:id="0">
    <w:p w:rsidR="006B07A8" w:rsidRDefault="006B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A8" w:rsidRDefault="006B07A8">
      <w:pPr>
        <w:spacing w:after="0" w:line="240" w:lineRule="auto"/>
      </w:pPr>
      <w:r>
        <w:separator/>
      </w:r>
    </w:p>
  </w:footnote>
  <w:footnote w:type="continuationSeparator" w:id="0">
    <w:p w:rsidR="006B07A8" w:rsidRDefault="006B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AC" w:rsidRPr="00B95EAC" w:rsidRDefault="008A1B1E" w:rsidP="00F84EDE">
    <w:pPr>
      <w:pStyle w:val="Encabezado"/>
      <w:tabs>
        <w:tab w:val="clear" w:pos="8838"/>
      </w:tabs>
      <w:ind w:right="-425"/>
      <w:jc w:val="right"/>
      <w:rPr>
        <w:rFonts w:ascii="Neo Sans Pro" w:hAnsi="Neo Sans Pro"/>
        <w:b/>
        <w:i/>
        <w:sz w:val="20"/>
        <w:szCs w:val="20"/>
      </w:rPr>
    </w:pPr>
    <w:r w:rsidRPr="00B95EAC">
      <w:rPr>
        <w:rFonts w:ascii="Neo Sans Pro" w:hAnsi="Neo Sans Pro"/>
        <w:b/>
        <w:i/>
        <w:sz w:val="20"/>
        <w:szCs w:val="20"/>
      </w:rPr>
      <w:t>Fiscalía Coordinadora Especializada en Asuntos Indígenas y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B"/>
    <w:multiLevelType w:val="hybridMultilevel"/>
    <w:tmpl w:val="C1FEA4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364"/>
    <w:multiLevelType w:val="hybridMultilevel"/>
    <w:tmpl w:val="1BC259D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74122"/>
    <w:multiLevelType w:val="hybridMultilevel"/>
    <w:tmpl w:val="117653F6"/>
    <w:lvl w:ilvl="0" w:tplc="5F0809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693397"/>
    <w:multiLevelType w:val="hybridMultilevel"/>
    <w:tmpl w:val="D25CA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B3011"/>
    <w:multiLevelType w:val="hybridMultilevel"/>
    <w:tmpl w:val="D5E8D068"/>
    <w:lvl w:ilvl="0" w:tplc="BB24C680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B456D"/>
    <w:multiLevelType w:val="hybridMultilevel"/>
    <w:tmpl w:val="D414C26E"/>
    <w:lvl w:ilvl="0" w:tplc="9FB2F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62642"/>
    <w:multiLevelType w:val="hybridMultilevel"/>
    <w:tmpl w:val="BCFC8546"/>
    <w:lvl w:ilvl="0" w:tplc="1F9CF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09"/>
    <w:rsid w:val="00020F79"/>
    <w:rsid w:val="00083179"/>
    <w:rsid w:val="000A45AB"/>
    <w:rsid w:val="000D095E"/>
    <w:rsid w:val="001D2531"/>
    <w:rsid w:val="00216FF3"/>
    <w:rsid w:val="0024046E"/>
    <w:rsid w:val="002A1B54"/>
    <w:rsid w:val="002B2889"/>
    <w:rsid w:val="002B3338"/>
    <w:rsid w:val="002C0AF6"/>
    <w:rsid w:val="003777DE"/>
    <w:rsid w:val="003A4D24"/>
    <w:rsid w:val="003D2C04"/>
    <w:rsid w:val="00460DF1"/>
    <w:rsid w:val="004C1709"/>
    <w:rsid w:val="004E36B0"/>
    <w:rsid w:val="005832AD"/>
    <w:rsid w:val="005E0A64"/>
    <w:rsid w:val="00654395"/>
    <w:rsid w:val="006B07A8"/>
    <w:rsid w:val="006D6D22"/>
    <w:rsid w:val="007839DE"/>
    <w:rsid w:val="008945C5"/>
    <w:rsid w:val="008A1B1E"/>
    <w:rsid w:val="008D69CD"/>
    <w:rsid w:val="009E3C18"/>
    <w:rsid w:val="009F5E21"/>
    <w:rsid w:val="009F7B2F"/>
    <w:rsid w:val="00A051A5"/>
    <w:rsid w:val="00A258D9"/>
    <w:rsid w:val="00A56EEB"/>
    <w:rsid w:val="00AD7CC1"/>
    <w:rsid w:val="00B17165"/>
    <w:rsid w:val="00B21EBE"/>
    <w:rsid w:val="00B559F2"/>
    <w:rsid w:val="00B83031"/>
    <w:rsid w:val="00BD1E73"/>
    <w:rsid w:val="00BF1B59"/>
    <w:rsid w:val="00CD151C"/>
    <w:rsid w:val="00CE75E6"/>
    <w:rsid w:val="00D00DFC"/>
    <w:rsid w:val="00D04FB8"/>
    <w:rsid w:val="00D277FB"/>
    <w:rsid w:val="00DA7D31"/>
    <w:rsid w:val="00E77F17"/>
    <w:rsid w:val="00ED7EED"/>
    <w:rsid w:val="00F73861"/>
    <w:rsid w:val="00F84ED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9EBB-9AF3-440E-AED3-C2D6A420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709"/>
  </w:style>
  <w:style w:type="paragraph" w:styleId="Prrafodelista">
    <w:name w:val="List Paragraph"/>
    <w:basedOn w:val="Normal"/>
    <w:uiPriority w:val="34"/>
    <w:qFormat/>
    <w:rsid w:val="004C17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84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39</cp:revision>
  <dcterms:created xsi:type="dcterms:W3CDTF">2018-04-13T17:16:00Z</dcterms:created>
  <dcterms:modified xsi:type="dcterms:W3CDTF">2023-01-03T15:38:00Z</dcterms:modified>
</cp:coreProperties>
</file>